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BBE" w14:textId="4E1257FF" w:rsidR="001B75BA" w:rsidRPr="001A5328" w:rsidRDefault="001B75BA" w:rsidP="001A5328">
      <w:pPr>
        <w:pStyle w:val="NoSpacing"/>
        <w:rPr>
          <w:b/>
        </w:rPr>
      </w:pPr>
      <w:r w:rsidRPr="001A53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628C" wp14:editId="306B6C74">
                <wp:simplePos x="0" y="0"/>
                <wp:positionH relativeFrom="column">
                  <wp:posOffset>7455535</wp:posOffset>
                </wp:positionH>
                <wp:positionV relativeFrom="paragraph">
                  <wp:posOffset>-229870</wp:posOffset>
                </wp:positionV>
                <wp:extent cx="2362200" cy="6858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5E95" w14:textId="77777777" w:rsidR="001B75BA" w:rsidRPr="008C0D8B" w:rsidRDefault="008C0D8B" w:rsidP="001B75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0D8B">
                              <w:rPr>
                                <w:b/>
                                <w:sz w:val="32"/>
                                <w:szCs w:val="32"/>
                              </w:rPr>
                              <w:t>THE LANDER MEDICAL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62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7.05pt;margin-top:-18.1pt;width:1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">
                <v:textbox>
                  <w:txbxContent>
                    <w:p w14:paraId="242C5E95" w14:textId="77777777" w:rsidR="001B75BA" w:rsidRPr="008C0D8B" w:rsidRDefault="008C0D8B" w:rsidP="001B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0D8B">
                        <w:rPr>
                          <w:b/>
                          <w:sz w:val="32"/>
                          <w:szCs w:val="32"/>
                        </w:rPr>
                        <w:t>THE LANDER MEDICAL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328" w:rsidRPr="001A5328">
        <w:rPr>
          <w:b/>
        </w:rPr>
        <w:t>Document Title</w:t>
      </w:r>
      <w:r w:rsidR="001259B0" w:rsidRPr="001A5328">
        <w:rPr>
          <w:b/>
        </w:rPr>
        <w:t>:</w:t>
      </w:r>
      <w:r w:rsidR="001259B0" w:rsidRPr="001A5328">
        <w:rPr>
          <w:b/>
        </w:rPr>
        <w:tab/>
      </w:r>
      <w:r w:rsidR="00FA2778" w:rsidRPr="001A5328">
        <w:rPr>
          <w:b/>
        </w:rPr>
        <w:t>Detailed Privacy Information</w:t>
      </w:r>
    </w:p>
    <w:p w14:paraId="5B181892" w14:textId="2BF5D1B5" w:rsidR="001B75BA" w:rsidRDefault="001B75BA" w:rsidP="001A5328">
      <w:pPr>
        <w:pStyle w:val="NoSpacing"/>
        <w:ind w:left="1440" w:firstLine="720"/>
        <w:rPr>
          <w:b/>
        </w:rPr>
      </w:pPr>
      <w:r w:rsidRPr="007249E2">
        <w:rPr>
          <w:b/>
        </w:rPr>
        <w:t>Glossary</w:t>
      </w:r>
      <w:r>
        <w:rPr>
          <w:b/>
        </w:rPr>
        <w:t xml:space="preserve"> / further explanation</w:t>
      </w:r>
      <w:r w:rsidRPr="007249E2">
        <w:rPr>
          <w:b/>
        </w:rPr>
        <w:t xml:space="preserve"> (to be used with the detailed privacy information documents)</w:t>
      </w:r>
    </w:p>
    <w:p w14:paraId="107ADF41" w14:textId="431D84A1" w:rsidR="00540AB7" w:rsidRDefault="001A5328" w:rsidP="001A5328">
      <w:pPr>
        <w:pStyle w:val="NoSpacing"/>
        <w:rPr>
          <w:b/>
        </w:rPr>
      </w:pPr>
      <w:r>
        <w:rPr>
          <w:b/>
        </w:rPr>
        <w:t>Document Number</w:t>
      </w:r>
      <w:r w:rsidR="00540AB7">
        <w:rPr>
          <w:b/>
        </w:rPr>
        <w:t>:</w:t>
      </w:r>
      <w:r>
        <w:rPr>
          <w:b/>
        </w:rPr>
        <w:tab/>
        <w:t>CG30</w:t>
      </w:r>
    </w:p>
    <w:p w14:paraId="47C10289" w14:textId="12892B24" w:rsidR="00540AB7" w:rsidRDefault="00540AB7" w:rsidP="001A5328">
      <w:pPr>
        <w:pStyle w:val="NoSpacing"/>
        <w:rPr>
          <w:b/>
        </w:rPr>
      </w:pPr>
      <w:r>
        <w:rPr>
          <w:b/>
        </w:rPr>
        <w:t>P</w:t>
      </w:r>
      <w:r w:rsidR="001A5328">
        <w:rPr>
          <w:b/>
        </w:rPr>
        <w:t>ublished</w:t>
      </w:r>
      <w:r>
        <w:rPr>
          <w:b/>
        </w:rPr>
        <w:t>:</w:t>
      </w:r>
      <w:r>
        <w:rPr>
          <w:b/>
        </w:rPr>
        <w:tab/>
        <w:t xml:space="preserve">      </w:t>
      </w:r>
      <w:r>
        <w:rPr>
          <w:b/>
        </w:rPr>
        <w:tab/>
        <w:t>15</w:t>
      </w:r>
      <w:r w:rsidRPr="00540AB7">
        <w:rPr>
          <w:b/>
          <w:vertAlign w:val="superscript"/>
        </w:rPr>
        <w:t>TH</w:t>
      </w:r>
      <w:r>
        <w:rPr>
          <w:b/>
        </w:rPr>
        <w:t xml:space="preserve"> </w:t>
      </w:r>
      <w:r w:rsidR="001A5328">
        <w:rPr>
          <w:b/>
        </w:rPr>
        <w:t>May</w:t>
      </w:r>
      <w:r>
        <w:rPr>
          <w:b/>
        </w:rPr>
        <w:t xml:space="preserve"> 2018</w:t>
      </w:r>
    </w:p>
    <w:p w14:paraId="76D38F90" w14:textId="0872829F" w:rsidR="00540AB7" w:rsidRDefault="00540AB7" w:rsidP="001A5328">
      <w:pPr>
        <w:pStyle w:val="NoSpacing"/>
        <w:rPr>
          <w:b/>
        </w:rPr>
      </w:pPr>
      <w:r>
        <w:rPr>
          <w:b/>
        </w:rPr>
        <w:t>R</w:t>
      </w:r>
      <w:r w:rsidR="001A5328">
        <w:rPr>
          <w:b/>
        </w:rPr>
        <w:t>eviewed</w:t>
      </w:r>
      <w:r>
        <w:rPr>
          <w:b/>
        </w:rPr>
        <w:t>:</w:t>
      </w:r>
      <w:r>
        <w:rPr>
          <w:b/>
        </w:rPr>
        <w:tab/>
        <w:t xml:space="preserve">        </w:t>
      </w:r>
      <w:r>
        <w:rPr>
          <w:b/>
        </w:rPr>
        <w:tab/>
        <w:t>M</w:t>
      </w:r>
      <w:r w:rsidR="001A5328">
        <w:rPr>
          <w:b/>
        </w:rPr>
        <w:t>ay</w:t>
      </w:r>
      <w:r>
        <w:rPr>
          <w:b/>
        </w:rPr>
        <w:t xml:space="preserve"> 202</w:t>
      </w:r>
      <w:r w:rsidR="001A5328">
        <w:rPr>
          <w:b/>
        </w:rPr>
        <w:t>3</w:t>
      </w:r>
    </w:p>
    <w:p w14:paraId="137CC0C0" w14:textId="240CB00B" w:rsidR="00540AB7" w:rsidRDefault="00540AB7" w:rsidP="001A5328">
      <w:pPr>
        <w:pStyle w:val="NoSpacing"/>
        <w:rPr>
          <w:b/>
        </w:rPr>
      </w:pPr>
      <w:r>
        <w:rPr>
          <w:b/>
        </w:rPr>
        <w:t>R</w:t>
      </w:r>
      <w:r w:rsidR="001A5328">
        <w:rPr>
          <w:b/>
        </w:rPr>
        <w:t>eviewed by</w:t>
      </w:r>
      <w:r>
        <w:rPr>
          <w:b/>
        </w:rPr>
        <w:t>:</w:t>
      </w:r>
      <w:r w:rsidR="001A5328">
        <w:rPr>
          <w:b/>
        </w:rPr>
        <w:tab/>
      </w:r>
      <w:r w:rsidR="001A5328">
        <w:rPr>
          <w:b/>
        </w:rPr>
        <w:tab/>
        <w:t>Clinical Governance Team</w:t>
      </w:r>
    </w:p>
    <w:p w14:paraId="46737CFE" w14:textId="248A5C14" w:rsidR="00FA2778" w:rsidRDefault="001A5328" w:rsidP="001A5328">
      <w:pPr>
        <w:pStyle w:val="NoSpacing"/>
        <w:rPr>
          <w:b/>
        </w:rPr>
      </w:pPr>
      <w:r>
        <w:rPr>
          <w:b/>
        </w:rPr>
        <w:t>Date of next review</w:t>
      </w:r>
      <w:r w:rsidR="00540AB7">
        <w:rPr>
          <w:b/>
        </w:rPr>
        <w:t>:</w:t>
      </w:r>
      <w:r>
        <w:rPr>
          <w:b/>
        </w:rPr>
        <w:tab/>
      </w:r>
      <w:r w:rsidR="00540AB7">
        <w:rPr>
          <w:b/>
        </w:rPr>
        <w:t>M</w:t>
      </w:r>
      <w:r>
        <w:rPr>
          <w:b/>
        </w:rPr>
        <w:t>ay</w:t>
      </w:r>
      <w:r w:rsidR="00540AB7">
        <w:rPr>
          <w:b/>
        </w:rPr>
        <w:t xml:space="preserve"> 202</w:t>
      </w:r>
      <w:r>
        <w:rPr>
          <w:b/>
        </w:rPr>
        <w:t>4</w:t>
      </w:r>
    </w:p>
    <w:p w14:paraId="0CA2566F" w14:textId="77777777" w:rsidR="001A5328" w:rsidRDefault="001A5328" w:rsidP="001A5328">
      <w:pPr>
        <w:pStyle w:val="NoSpacing"/>
        <w:rPr>
          <w:b/>
        </w:rPr>
      </w:pPr>
    </w:p>
    <w:p w14:paraId="3F538669" w14:textId="30C7057A" w:rsidR="001A5328" w:rsidRDefault="001A5328" w:rsidP="001A5328">
      <w:pPr>
        <w:pStyle w:val="NoSpacing"/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………………………………. </w:t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…………………………</w:t>
      </w:r>
    </w:p>
    <w:p w14:paraId="06DBA62E" w14:textId="54343A98" w:rsidR="001A5328" w:rsidRPr="00FA2778" w:rsidRDefault="001A5328" w:rsidP="001A532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 Jess Cuff</w:t>
      </w:r>
    </w:p>
    <w:p w14:paraId="0462BF05" w14:textId="77777777" w:rsidR="00540AB7" w:rsidRDefault="00540AB7" w:rsidP="007249E2">
      <w:pPr>
        <w:pStyle w:val="NoSpacing"/>
      </w:pPr>
    </w:p>
    <w:p w14:paraId="48CE3EF3" w14:textId="77777777" w:rsidR="00540AB7" w:rsidRDefault="00540AB7" w:rsidP="007249E2">
      <w:pPr>
        <w:pStyle w:val="NoSpacing"/>
      </w:pPr>
    </w:p>
    <w:p w14:paraId="578F01F3" w14:textId="5B46DE62" w:rsidR="007249E2" w:rsidRDefault="00FA2778" w:rsidP="007249E2">
      <w:pPr>
        <w:pStyle w:val="NoSpacing"/>
      </w:pPr>
      <w:r>
        <w:t xml:space="preserve">You have the right to be informed about the collection and use of your personal data.  This is a key requirement under the GDPR. </w:t>
      </w:r>
    </w:p>
    <w:p w14:paraId="244AB3C7" w14:textId="77777777" w:rsidR="00FA2778" w:rsidRDefault="00FA2778" w:rsidP="00FA2778">
      <w:pPr>
        <w:pStyle w:val="NoSpacing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2551"/>
        <w:gridCol w:w="7697"/>
      </w:tblGrid>
      <w:tr w:rsidR="007249E2" w14:paraId="3D466525" w14:textId="77777777" w:rsidTr="00474915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60DF8D5E" w14:textId="77777777" w:rsidR="007249E2" w:rsidRDefault="007249E2" w:rsidP="007249E2">
            <w:pPr>
              <w:pStyle w:val="NoSpacing"/>
              <w:rPr>
                <w:b/>
              </w:rPr>
            </w:pPr>
            <w:r>
              <w:t>Identity and contact details of the data controller</w:t>
            </w:r>
            <w:r w:rsidR="00682B1B">
              <w:t>:</w:t>
            </w:r>
            <w:r>
              <w:t xml:space="preserve"> </w:t>
            </w:r>
          </w:p>
          <w:p w14:paraId="7B3F3233" w14:textId="77777777" w:rsidR="007249E2" w:rsidRDefault="007249E2" w:rsidP="00FA2778">
            <w:pPr>
              <w:pStyle w:val="NoSpacing"/>
              <w:rPr>
                <w:b/>
              </w:rPr>
            </w:pPr>
          </w:p>
        </w:tc>
        <w:tc>
          <w:tcPr>
            <w:tcW w:w="10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75D3AD" w14:textId="77777777" w:rsidR="007249E2" w:rsidRPr="007249E2" w:rsidRDefault="007249E2" w:rsidP="004C1F3A">
            <w:pPr>
              <w:pStyle w:val="NoSpacing"/>
            </w:pPr>
            <w:r w:rsidRPr="007249E2">
              <w:t xml:space="preserve">The </w:t>
            </w:r>
            <w:r w:rsidR="004C1F3A">
              <w:t>Lander Medical Practice</w:t>
            </w:r>
          </w:p>
        </w:tc>
      </w:tr>
      <w:tr w:rsidR="004446E2" w14:paraId="37A7079F" w14:textId="77777777" w:rsidTr="001059A9">
        <w:tc>
          <w:tcPr>
            <w:tcW w:w="15614" w:type="dxa"/>
            <w:gridSpan w:val="3"/>
            <w:tcBorders>
              <w:top w:val="single" w:sz="4" w:space="0" w:color="auto"/>
            </w:tcBorders>
          </w:tcPr>
          <w:p w14:paraId="50A3195A" w14:textId="77777777" w:rsidR="004446E2" w:rsidRDefault="004446E2" w:rsidP="007249E2">
            <w:pPr>
              <w:pStyle w:val="NoSpacing"/>
            </w:pPr>
            <w:r>
              <w:t>How does the processing comply with the Common Law Duty of Confidentiality?</w:t>
            </w:r>
          </w:p>
          <w:p w14:paraId="1C107487" w14:textId="77777777" w:rsidR="004446E2" w:rsidRDefault="004446E2" w:rsidP="007249E2">
            <w:pPr>
              <w:pStyle w:val="NoSpacing"/>
            </w:pPr>
          </w:p>
          <w:p w14:paraId="3E5328EC" w14:textId="77777777" w:rsidR="004446E2" w:rsidRDefault="004446E2" w:rsidP="007249E2">
            <w:pPr>
              <w:pStyle w:val="NoSpacing"/>
              <w:numPr>
                <w:ilvl w:val="0"/>
                <w:numId w:val="1"/>
              </w:numPr>
            </w:pPr>
            <w:r>
              <w:t>Consent:</w:t>
            </w:r>
          </w:p>
          <w:p w14:paraId="1755C353" w14:textId="77777777" w:rsidR="004446E2" w:rsidRDefault="004446E2" w:rsidP="004446E2">
            <w:pPr>
              <w:pStyle w:val="NoSpacing"/>
              <w:numPr>
                <w:ilvl w:val="1"/>
                <w:numId w:val="1"/>
              </w:numPr>
            </w:pPr>
            <w:r w:rsidRPr="001B75BA">
              <w:rPr>
                <w:u w:val="single"/>
              </w:rPr>
              <w:t>Implied consent</w:t>
            </w:r>
            <w:r>
              <w:t xml:space="preserve"> – it is reasonable to infer that you agree to the use of information as long as:</w:t>
            </w:r>
          </w:p>
          <w:p w14:paraId="5032F59B" w14:textId="77777777" w:rsidR="004446E2" w:rsidRDefault="004446E2" w:rsidP="004446E2">
            <w:pPr>
              <w:pStyle w:val="NoSpacing"/>
              <w:numPr>
                <w:ilvl w:val="2"/>
                <w:numId w:val="1"/>
              </w:numPr>
            </w:pPr>
            <w:r>
              <w:t xml:space="preserve">we are accessing the information to provide or support your direct care or are satisfied that the person we are sharing the information with is accessing or receiving it for this </w:t>
            </w:r>
            <w:proofErr w:type="gramStart"/>
            <w:r>
              <w:t>purpose</w:t>
            </w:r>
            <w:proofErr w:type="gramEnd"/>
          </w:p>
          <w:p w14:paraId="4E052CD3" w14:textId="77777777" w:rsidR="004446E2" w:rsidRDefault="004446E2" w:rsidP="004446E2">
            <w:pPr>
              <w:pStyle w:val="NoSpacing"/>
              <w:numPr>
                <w:ilvl w:val="2"/>
                <w:numId w:val="1"/>
              </w:numPr>
            </w:pPr>
            <w:r>
              <w:t xml:space="preserve">information is readily available to </w:t>
            </w:r>
            <w:proofErr w:type="gramStart"/>
            <w:r>
              <w:t>you</w:t>
            </w:r>
            <w:proofErr w:type="gramEnd"/>
          </w:p>
          <w:p w14:paraId="37957B9C" w14:textId="77777777" w:rsidR="004446E2" w:rsidRDefault="004446E2" w:rsidP="004446E2">
            <w:pPr>
              <w:pStyle w:val="NoSpacing"/>
              <w:numPr>
                <w:ilvl w:val="2"/>
                <w:numId w:val="1"/>
              </w:numPr>
            </w:pPr>
            <w:r>
              <w:t xml:space="preserve">we have no reason to believe that you have </w:t>
            </w:r>
            <w:proofErr w:type="gramStart"/>
            <w:r>
              <w:t>objected</w:t>
            </w:r>
            <w:proofErr w:type="gramEnd"/>
          </w:p>
          <w:p w14:paraId="7CB3EB28" w14:textId="77777777" w:rsidR="004446E2" w:rsidRDefault="004446E2" w:rsidP="004446E2">
            <w:pPr>
              <w:pStyle w:val="NoSpacing"/>
              <w:numPr>
                <w:ilvl w:val="2"/>
                <w:numId w:val="1"/>
              </w:numPr>
            </w:pPr>
            <w:r>
              <w:t xml:space="preserve"> we are satisfied that anyone we disclose information to understands that we are giving it to them in confidence, which they must respect.</w:t>
            </w:r>
          </w:p>
          <w:p w14:paraId="1D51556B" w14:textId="77777777" w:rsidR="004446E2" w:rsidRPr="004446E2" w:rsidRDefault="004446E2" w:rsidP="007249E2">
            <w:pPr>
              <w:pStyle w:val="NoSpacing"/>
              <w:numPr>
                <w:ilvl w:val="1"/>
                <w:numId w:val="1"/>
              </w:numPr>
              <w:rPr>
                <w:u w:val="single"/>
              </w:rPr>
            </w:pPr>
            <w:r w:rsidRPr="004446E2">
              <w:rPr>
                <w:u w:val="single"/>
              </w:rPr>
              <w:t>Explicit consent</w:t>
            </w:r>
            <w:r>
              <w:t xml:space="preserve"> – this means that we actively seek and record your agreement to the use or disclosure of your information, before any such processing takes place.</w:t>
            </w:r>
            <w:r>
              <w:rPr>
                <w:u w:val="single"/>
              </w:rPr>
              <w:t xml:space="preserve"> </w:t>
            </w:r>
          </w:p>
          <w:p w14:paraId="5446B553" w14:textId="77777777" w:rsidR="004446E2" w:rsidRPr="007249E2" w:rsidRDefault="004446E2" w:rsidP="004446E2">
            <w:pPr>
              <w:pStyle w:val="NoSpacing"/>
            </w:pPr>
          </w:p>
        </w:tc>
      </w:tr>
      <w:tr w:rsidR="004446E2" w14:paraId="4F61B419" w14:textId="77777777" w:rsidTr="00D205D0">
        <w:trPr>
          <w:trHeight w:val="1925"/>
        </w:trPr>
        <w:tc>
          <w:tcPr>
            <w:tcW w:w="15614" w:type="dxa"/>
            <w:gridSpan w:val="3"/>
          </w:tcPr>
          <w:p w14:paraId="1DDC29C4" w14:textId="77777777" w:rsidR="004446E2" w:rsidRDefault="004446E2" w:rsidP="001B75BA">
            <w:pPr>
              <w:pStyle w:val="NoSpacing"/>
              <w:numPr>
                <w:ilvl w:val="0"/>
                <w:numId w:val="3"/>
              </w:numPr>
            </w:pPr>
            <w:r>
              <w:t>The Health Service Control of Patient Information Regulations 2002</w:t>
            </w:r>
          </w:p>
          <w:p w14:paraId="223B173A" w14:textId="77777777" w:rsidR="004446E2" w:rsidRDefault="004446E2" w:rsidP="004446E2">
            <w:pPr>
              <w:pStyle w:val="NoSpacing"/>
              <w:ind w:left="720"/>
            </w:pPr>
          </w:p>
          <w:p w14:paraId="4FF6C970" w14:textId="77777777" w:rsidR="004446E2" w:rsidRDefault="004446E2" w:rsidP="00474915">
            <w:pPr>
              <w:pStyle w:val="NoSpacing"/>
              <w:numPr>
                <w:ilvl w:val="0"/>
                <w:numId w:val="1"/>
              </w:numPr>
            </w:pPr>
            <w:r>
              <w:t xml:space="preserve">Overriding public interest – to safeguard you or another </w:t>
            </w:r>
            <w:proofErr w:type="gramStart"/>
            <w:r>
              <w:t>person</w:t>
            </w:r>
            <w:proofErr w:type="gramEnd"/>
          </w:p>
          <w:p w14:paraId="499A9E76" w14:textId="77777777" w:rsidR="004446E2" w:rsidRDefault="004446E2" w:rsidP="004446E2">
            <w:pPr>
              <w:pStyle w:val="NoSpacing"/>
              <w:ind w:left="720"/>
            </w:pPr>
          </w:p>
          <w:p w14:paraId="4BBDE75D" w14:textId="77777777" w:rsidR="004446E2" w:rsidRDefault="004446E2" w:rsidP="004446E2">
            <w:pPr>
              <w:pStyle w:val="NoSpacing"/>
              <w:numPr>
                <w:ilvl w:val="0"/>
                <w:numId w:val="1"/>
              </w:numPr>
            </w:pPr>
            <w:r>
              <w:t xml:space="preserve">Legal obligation – this means that we are compelled by law to share your data in this way </w:t>
            </w:r>
            <w:proofErr w:type="gramStart"/>
            <w:r>
              <w:t>e.g.</w:t>
            </w:r>
            <w:proofErr w:type="gramEnd"/>
            <w:r>
              <w:t xml:space="preserve"> court order</w:t>
            </w:r>
          </w:p>
        </w:tc>
      </w:tr>
      <w:tr w:rsidR="00474915" w14:paraId="56A2D924" w14:textId="77777777" w:rsidTr="00A638B5">
        <w:tc>
          <w:tcPr>
            <w:tcW w:w="15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4710B3" w14:textId="77777777" w:rsidR="00474915" w:rsidRDefault="00474915" w:rsidP="007249E2">
            <w:pPr>
              <w:pStyle w:val="NoSpacing"/>
            </w:pPr>
            <w:r>
              <w:t>Purpose of the processing and the lawful basis for the processing:</w:t>
            </w:r>
          </w:p>
          <w:p w14:paraId="2B589944" w14:textId="77777777" w:rsidR="006764CC" w:rsidRDefault="006764CC" w:rsidP="007249E2">
            <w:pPr>
              <w:pStyle w:val="NoSpacing"/>
            </w:pPr>
          </w:p>
          <w:p w14:paraId="00FC9176" w14:textId="77777777" w:rsidR="006764CC" w:rsidRDefault="00F52C8D" w:rsidP="006764CC">
            <w:pPr>
              <w:pStyle w:val="NoSpacing"/>
              <w:numPr>
                <w:ilvl w:val="0"/>
                <w:numId w:val="2"/>
              </w:numPr>
            </w:pPr>
            <w:r>
              <w:t>Direct care is a sp</w:t>
            </w:r>
            <w:r w:rsidR="001A5402">
              <w:t>ecial category of data (health) and enables healthcare professionals (either working with or for the Practice) to</w:t>
            </w:r>
            <w:r w:rsidR="006764CC">
              <w:t xml:space="preserve"> be provided with or access to </w:t>
            </w:r>
          </w:p>
          <w:p w14:paraId="7465017A" w14:textId="77777777" w:rsidR="005D332C" w:rsidRDefault="00474915" w:rsidP="006764CC">
            <w:pPr>
              <w:pStyle w:val="NoSpacing"/>
              <w:ind w:left="720"/>
            </w:pPr>
            <w:r>
              <w:lastRenderedPageBreak/>
              <w:t xml:space="preserve">all relevant and necessary information </w:t>
            </w:r>
            <w:r w:rsidR="006764CC">
              <w:t>to give medical care.</w:t>
            </w:r>
          </w:p>
          <w:p w14:paraId="61F6AC91" w14:textId="77777777" w:rsidR="005F7AFD" w:rsidRDefault="005F7AFD" w:rsidP="006764CC">
            <w:pPr>
              <w:pStyle w:val="NoSpacing"/>
              <w:ind w:left="720"/>
            </w:pPr>
          </w:p>
          <w:p w14:paraId="4F4716CF" w14:textId="77777777" w:rsidR="00F52C8D" w:rsidRDefault="0066604D" w:rsidP="00F52C8D">
            <w:pPr>
              <w:pStyle w:val="NoSpacing"/>
              <w:numPr>
                <w:ilvl w:val="0"/>
                <w:numId w:val="2"/>
              </w:numPr>
            </w:pPr>
            <w:r>
              <w:t xml:space="preserve">Lawful bases: </w:t>
            </w:r>
          </w:p>
          <w:p w14:paraId="7542DEC2" w14:textId="77777777" w:rsidR="005C7018" w:rsidRDefault="0066604D" w:rsidP="00F52C8D">
            <w:pPr>
              <w:pStyle w:val="NoSpacing"/>
              <w:numPr>
                <w:ilvl w:val="1"/>
                <w:numId w:val="2"/>
              </w:numPr>
            </w:pPr>
            <w:r>
              <w:t xml:space="preserve">Article </w:t>
            </w:r>
            <w:r w:rsidR="00F52C8D">
              <w:t>6(1)(e) – Official Authority</w:t>
            </w:r>
          </w:p>
          <w:p w14:paraId="2168B755" w14:textId="77777777" w:rsidR="005C7018" w:rsidRDefault="005C7018" w:rsidP="00F52C8D">
            <w:pPr>
              <w:pStyle w:val="NoSpacing"/>
              <w:numPr>
                <w:ilvl w:val="1"/>
                <w:numId w:val="2"/>
              </w:numPr>
            </w:pPr>
            <w:r>
              <w:t>Article 6(1)(d) – Vital Interests</w:t>
            </w:r>
          </w:p>
          <w:p w14:paraId="494DFF49" w14:textId="77777777" w:rsidR="00F52C8D" w:rsidRDefault="005C7018" w:rsidP="00F52C8D">
            <w:pPr>
              <w:pStyle w:val="NoSpacing"/>
              <w:numPr>
                <w:ilvl w:val="1"/>
                <w:numId w:val="2"/>
              </w:numPr>
            </w:pPr>
            <w:r>
              <w:t>Article 6(1)(c) – Legal Obligation</w:t>
            </w:r>
            <w:r w:rsidR="0066604D">
              <w:t xml:space="preserve"> </w:t>
            </w:r>
          </w:p>
          <w:p w14:paraId="50477154" w14:textId="77777777" w:rsidR="005A2942" w:rsidRDefault="005A2942" w:rsidP="00F52C8D">
            <w:pPr>
              <w:pStyle w:val="NoSpacing"/>
              <w:numPr>
                <w:ilvl w:val="1"/>
                <w:numId w:val="2"/>
              </w:numPr>
            </w:pPr>
            <w:r>
              <w:t>Article 9(2)(b) – Employment and social security</w:t>
            </w:r>
          </w:p>
          <w:p w14:paraId="5FD38D3D" w14:textId="77777777" w:rsidR="00474915" w:rsidRDefault="0066604D" w:rsidP="00F52C8D">
            <w:pPr>
              <w:pStyle w:val="NoSpacing"/>
              <w:numPr>
                <w:ilvl w:val="1"/>
                <w:numId w:val="2"/>
              </w:numPr>
            </w:pPr>
            <w:r>
              <w:t>Article 9(2)(h) – Provision of health</w:t>
            </w:r>
          </w:p>
          <w:p w14:paraId="51DE4250" w14:textId="77777777" w:rsidR="00474915" w:rsidRDefault="00474915" w:rsidP="001B75BA">
            <w:pPr>
              <w:pStyle w:val="NoSpacing"/>
            </w:pPr>
          </w:p>
        </w:tc>
      </w:tr>
      <w:tr w:rsidR="00474915" w14:paraId="66FEE6E5" w14:textId="77777777" w:rsidTr="009F7615">
        <w:tc>
          <w:tcPr>
            <w:tcW w:w="15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1315D" w14:textId="77777777" w:rsidR="00E926ED" w:rsidRDefault="00E926ED" w:rsidP="007249E2">
            <w:pPr>
              <w:pStyle w:val="NoSpacing"/>
            </w:pPr>
            <w:r>
              <w:lastRenderedPageBreak/>
              <w:t>How is the data obtained?</w:t>
            </w:r>
          </w:p>
          <w:p w14:paraId="517F9D38" w14:textId="77777777" w:rsidR="00474915" w:rsidRDefault="00474915" w:rsidP="007249E2">
            <w:pPr>
              <w:pStyle w:val="NoSpacing"/>
            </w:pPr>
            <w:r>
              <w:t>Is this:</w:t>
            </w:r>
          </w:p>
          <w:p w14:paraId="27BF3E6B" w14:textId="77777777" w:rsidR="00474915" w:rsidRDefault="00474915" w:rsidP="001B75BA">
            <w:pPr>
              <w:pStyle w:val="NoSpacing"/>
              <w:numPr>
                <w:ilvl w:val="0"/>
                <w:numId w:val="2"/>
              </w:numPr>
            </w:pPr>
            <w:r>
              <w:t>Access to your medical record</w:t>
            </w:r>
          </w:p>
          <w:p w14:paraId="6ECA56E0" w14:textId="77777777" w:rsidR="00474915" w:rsidRDefault="00474915" w:rsidP="001B75BA">
            <w:pPr>
              <w:pStyle w:val="NoSpacing"/>
              <w:numPr>
                <w:ilvl w:val="0"/>
                <w:numId w:val="2"/>
              </w:numPr>
            </w:pPr>
            <w:r>
              <w:t>Extraction of information from your medical record</w:t>
            </w:r>
          </w:p>
          <w:p w14:paraId="6373BE91" w14:textId="77777777" w:rsidR="00474915" w:rsidRDefault="00474915" w:rsidP="00682B1B">
            <w:pPr>
              <w:pStyle w:val="NoSpacing"/>
              <w:numPr>
                <w:ilvl w:val="0"/>
                <w:numId w:val="2"/>
              </w:numPr>
            </w:pPr>
            <w:r>
              <w:t xml:space="preserve">Access to data held about you by another </w:t>
            </w:r>
            <w:proofErr w:type="gramStart"/>
            <w:r>
              <w:t>controller</w:t>
            </w:r>
            <w:proofErr w:type="gramEnd"/>
          </w:p>
          <w:p w14:paraId="6A62AFCB" w14:textId="77777777" w:rsidR="00682B1B" w:rsidRDefault="00682B1B" w:rsidP="00682B1B">
            <w:pPr>
              <w:pStyle w:val="NoSpacing"/>
              <w:ind w:left="720"/>
            </w:pPr>
          </w:p>
        </w:tc>
      </w:tr>
      <w:tr w:rsidR="002C3D83" w14:paraId="2D1F2C23" w14:textId="77777777" w:rsidTr="00F70B6A">
        <w:tc>
          <w:tcPr>
            <w:tcW w:w="15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CCB76" w14:textId="77777777" w:rsidR="002C3D83" w:rsidRDefault="002C3D83" w:rsidP="00474915">
            <w:pPr>
              <w:pStyle w:val="NoSpacing"/>
            </w:pPr>
            <w:r>
              <w:t>Recipients:</w:t>
            </w:r>
          </w:p>
          <w:p w14:paraId="264659C4" w14:textId="77777777" w:rsidR="002C3D83" w:rsidRDefault="002C3D83" w:rsidP="002C3D83">
            <w:pPr>
              <w:pStyle w:val="NoSpacing"/>
              <w:numPr>
                <w:ilvl w:val="0"/>
                <w:numId w:val="5"/>
              </w:numPr>
            </w:pPr>
            <w:r>
              <w:t>Healthcare professionals outside of the Practice providing, or being asked to provide, direct medical care to the data subject, and who have a legitimate relationship to the data subject</w:t>
            </w:r>
            <w:r w:rsidR="0066604D">
              <w:t>.</w:t>
            </w:r>
          </w:p>
          <w:p w14:paraId="73EE7D41" w14:textId="77777777" w:rsidR="0028014E" w:rsidRDefault="0028014E" w:rsidP="002C3D83">
            <w:pPr>
              <w:pStyle w:val="NoSpacing"/>
              <w:numPr>
                <w:ilvl w:val="0"/>
                <w:numId w:val="5"/>
              </w:numPr>
            </w:pPr>
            <w:r>
              <w:t>NHS Digital</w:t>
            </w:r>
          </w:p>
          <w:p w14:paraId="1F482AA4" w14:textId="77777777" w:rsidR="0066604D" w:rsidRDefault="0028014E" w:rsidP="002C3D83">
            <w:pPr>
              <w:pStyle w:val="NoSpacing"/>
              <w:numPr>
                <w:ilvl w:val="0"/>
                <w:numId w:val="5"/>
              </w:numPr>
            </w:pPr>
            <w:r>
              <w:t xml:space="preserve">Statutory bodies </w:t>
            </w:r>
            <w:proofErr w:type="gramStart"/>
            <w:r>
              <w:t>e.g.</w:t>
            </w:r>
            <w:proofErr w:type="gramEnd"/>
            <w:r>
              <w:t xml:space="preserve"> CQC, The Courts, DVLA, Police</w:t>
            </w:r>
          </w:p>
          <w:p w14:paraId="2E988B27" w14:textId="77777777" w:rsidR="0066604D" w:rsidRDefault="0066604D" w:rsidP="0066604D">
            <w:pPr>
              <w:pStyle w:val="NoSpacing"/>
            </w:pPr>
          </w:p>
        </w:tc>
      </w:tr>
      <w:tr w:rsidR="002C3D83" w14:paraId="71A3E891" w14:textId="77777777" w:rsidTr="00880755">
        <w:tc>
          <w:tcPr>
            <w:tcW w:w="15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ED13CF" w14:textId="77777777" w:rsidR="002C3D83" w:rsidRDefault="002C3D83" w:rsidP="00474915">
            <w:pPr>
              <w:pStyle w:val="NoSpacing"/>
            </w:pPr>
            <w:r>
              <w:t>Retention periods</w:t>
            </w:r>
            <w:r w:rsidR="0066604D">
              <w:t xml:space="preserve"> or criteria used to determine the retention period</w:t>
            </w:r>
            <w:r>
              <w:t>:</w:t>
            </w:r>
          </w:p>
          <w:p w14:paraId="651D9E8D" w14:textId="77777777" w:rsidR="00682B1B" w:rsidRDefault="00682B1B" w:rsidP="00474915">
            <w:pPr>
              <w:pStyle w:val="NoSpacing"/>
            </w:pPr>
          </w:p>
          <w:p w14:paraId="3C586376" w14:textId="77777777" w:rsidR="0066604D" w:rsidRDefault="0066604D" w:rsidP="00682B1B">
            <w:pPr>
              <w:pStyle w:val="NoSpacing"/>
              <w:numPr>
                <w:ilvl w:val="0"/>
                <w:numId w:val="8"/>
              </w:numPr>
            </w:pPr>
            <w:r>
              <w:t>The Practice will retain an individual’s medical record for up to ten years following their death, unless transferred to an alternative medical practice.</w:t>
            </w:r>
          </w:p>
          <w:p w14:paraId="25EC7059" w14:textId="77777777" w:rsidR="0066604D" w:rsidRDefault="0066604D" w:rsidP="00682B1B">
            <w:pPr>
              <w:pStyle w:val="NoSpacing"/>
              <w:numPr>
                <w:ilvl w:val="0"/>
                <w:numId w:val="8"/>
              </w:numPr>
            </w:pPr>
            <w:r>
              <w:t>Receiving organisations will have their own data retention policy.</w:t>
            </w:r>
          </w:p>
          <w:p w14:paraId="7A9ECEEF" w14:textId="77777777" w:rsidR="002C3D83" w:rsidRDefault="002C3D83" w:rsidP="00682B1B">
            <w:pPr>
              <w:pStyle w:val="NoSpacing"/>
              <w:numPr>
                <w:ilvl w:val="0"/>
                <w:numId w:val="8"/>
              </w:numPr>
            </w:pPr>
            <w:r>
              <w:t xml:space="preserve">NHS organisations follow national guidance for data management and retention:  </w:t>
            </w:r>
            <w:hyperlink r:id="rId6" w:history="1">
              <w:r>
                <w:rPr>
                  <w:rStyle w:val="Hyperlink"/>
                </w:rPr>
                <w:t>NHS Code of Practice for Records Management</w:t>
              </w:r>
            </w:hyperlink>
          </w:p>
          <w:p w14:paraId="3975A767" w14:textId="77777777" w:rsidR="0066604D" w:rsidRDefault="0066604D" w:rsidP="002C3D83">
            <w:pPr>
              <w:pStyle w:val="NoSpacing"/>
            </w:pPr>
          </w:p>
        </w:tc>
      </w:tr>
      <w:tr w:rsidR="0066604D" w14:paraId="19BED73E" w14:textId="77777777" w:rsidTr="0066604D">
        <w:tc>
          <w:tcPr>
            <w:tcW w:w="15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1DEDD3" w14:textId="77777777" w:rsidR="0066604D" w:rsidRDefault="0066604D" w:rsidP="00474915">
            <w:pPr>
              <w:pStyle w:val="NoSpacing"/>
            </w:pPr>
            <w:r>
              <w:t>The existence of each of your rights:</w:t>
            </w:r>
          </w:p>
          <w:p w14:paraId="6F3987E6" w14:textId="77777777" w:rsidR="00682B1B" w:rsidRDefault="00682B1B" w:rsidP="00474915">
            <w:pPr>
              <w:pStyle w:val="NoSpacing"/>
            </w:pPr>
          </w:p>
          <w:p w14:paraId="0D1F7101" w14:textId="77777777" w:rsidR="000C7783" w:rsidRDefault="000C7783" w:rsidP="00474915">
            <w:pPr>
              <w:pStyle w:val="NoSpacing"/>
            </w:pPr>
            <w:r>
              <w:t>You have the</w:t>
            </w:r>
          </w:p>
          <w:p w14:paraId="0A3EDCF4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 xml:space="preserve">Right to be informed about the processing of </w:t>
            </w:r>
            <w:r w:rsidR="000C7783">
              <w:t>your</w:t>
            </w:r>
            <w:r>
              <w:t xml:space="preserve"> personal data (</w:t>
            </w:r>
            <w:proofErr w:type="gramStart"/>
            <w:r>
              <w:t>e.g.</w:t>
            </w:r>
            <w:proofErr w:type="gramEnd"/>
            <w:r>
              <w:t xml:space="preserve"> privacy notice</w:t>
            </w:r>
            <w:r w:rsidR="000C7783">
              <w:t>s</w:t>
            </w:r>
            <w:r>
              <w:t>)</w:t>
            </w:r>
          </w:p>
          <w:p w14:paraId="28AF28DA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>Right to rectification if</w:t>
            </w:r>
            <w:r w:rsidR="000C7783">
              <w:t xml:space="preserve"> your</w:t>
            </w:r>
            <w:r>
              <w:t xml:space="preserve"> personal data is inaccurate or </w:t>
            </w:r>
            <w:proofErr w:type="gramStart"/>
            <w:r>
              <w:t>incomplete</w:t>
            </w:r>
            <w:proofErr w:type="gramEnd"/>
          </w:p>
          <w:p w14:paraId="62BEED1D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 xml:space="preserve">Right of access to </w:t>
            </w:r>
            <w:r w:rsidR="000C7783">
              <w:t xml:space="preserve">your </w:t>
            </w:r>
            <w:r>
              <w:t>personal data and supplementary information</w:t>
            </w:r>
          </w:p>
          <w:p w14:paraId="519B5B09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 xml:space="preserve">Right to be forgotten by having </w:t>
            </w:r>
            <w:r w:rsidR="000C7783">
              <w:t xml:space="preserve">your </w:t>
            </w:r>
            <w:r>
              <w:t>personal data deleted or removed on request (where there is no compelling reason for us to continue to process it)</w:t>
            </w:r>
          </w:p>
          <w:p w14:paraId="50003884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 xml:space="preserve">Right to restrict processing – </w:t>
            </w:r>
            <w:proofErr w:type="gramStart"/>
            <w:r>
              <w:t>e.g.</w:t>
            </w:r>
            <w:proofErr w:type="gramEnd"/>
            <w:r>
              <w:t xml:space="preserve"> if </w:t>
            </w:r>
            <w:r w:rsidR="000C7783">
              <w:t>you</w:t>
            </w:r>
            <w:r>
              <w:t xml:space="preserve"> consider the data is inaccurate or the processing is unlawful</w:t>
            </w:r>
          </w:p>
          <w:p w14:paraId="33850E66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 xml:space="preserve">Right to data portability – </w:t>
            </w:r>
            <w:proofErr w:type="gramStart"/>
            <w:r>
              <w:t>e.g.</w:t>
            </w:r>
            <w:proofErr w:type="gramEnd"/>
            <w:r>
              <w:t xml:space="preserve"> allowing online service users to move data from one service to another</w:t>
            </w:r>
          </w:p>
          <w:p w14:paraId="12862EDB" w14:textId="77777777" w:rsidR="0066604D" w:rsidRDefault="0066604D" w:rsidP="0066604D">
            <w:pPr>
              <w:pStyle w:val="NoSpacing"/>
              <w:numPr>
                <w:ilvl w:val="0"/>
                <w:numId w:val="6"/>
              </w:numPr>
            </w:pPr>
            <w:r>
              <w:t xml:space="preserve">Right to object to automated decision making, including profiling, or for direct marketing or scientific / historical </w:t>
            </w:r>
            <w:proofErr w:type="gramStart"/>
            <w:r>
              <w:t>research</w:t>
            </w:r>
            <w:proofErr w:type="gramEnd"/>
          </w:p>
          <w:p w14:paraId="40C04C31" w14:textId="77777777" w:rsidR="0066604D" w:rsidRDefault="0066604D" w:rsidP="0066604D">
            <w:pPr>
              <w:pStyle w:val="NoSpacing"/>
            </w:pPr>
          </w:p>
          <w:p w14:paraId="2C37DC54" w14:textId="77777777" w:rsidR="0066604D" w:rsidRDefault="0066604D" w:rsidP="0066604D">
            <w:pPr>
              <w:pStyle w:val="NoSpacing"/>
            </w:pPr>
            <w:r>
              <w:lastRenderedPageBreak/>
              <w:t xml:space="preserve">These are set out in more detail at: </w:t>
            </w:r>
            <w:hyperlink r:id="rId7" w:history="1">
              <w:r>
                <w:rPr>
                  <w:rStyle w:val="Hyperlink"/>
                </w:rPr>
                <w:t>ICO guide to GDPR individual rights</w:t>
              </w:r>
            </w:hyperlink>
          </w:p>
          <w:p w14:paraId="760C44E6" w14:textId="77777777" w:rsidR="0066604D" w:rsidRDefault="0066604D" w:rsidP="0066604D">
            <w:pPr>
              <w:pStyle w:val="NoSpacing"/>
            </w:pPr>
          </w:p>
          <w:p w14:paraId="4FBC2935" w14:textId="77777777" w:rsidR="0066604D" w:rsidRDefault="0066604D" w:rsidP="000C7783">
            <w:pPr>
              <w:pStyle w:val="NoSpacing"/>
              <w:numPr>
                <w:ilvl w:val="0"/>
                <w:numId w:val="7"/>
              </w:numPr>
            </w:pPr>
            <w:r>
              <w:t>Article 6(1)</w:t>
            </w:r>
            <w:r w:rsidR="000C7783">
              <w:t>(</w:t>
            </w:r>
            <w:r>
              <w:t>e</w:t>
            </w:r>
            <w:r w:rsidR="000C7783">
              <w:t>)</w:t>
            </w:r>
            <w:r>
              <w:t xml:space="preserve"> gives the data subject the </w:t>
            </w:r>
            <w:r w:rsidRPr="000C7783">
              <w:rPr>
                <w:u w:val="single"/>
              </w:rPr>
              <w:t>right to object</w:t>
            </w:r>
            <w:r>
              <w:t>.</w:t>
            </w:r>
          </w:p>
          <w:p w14:paraId="0085C7A0" w14:textId="77777777" w:rsidR="000C7783" w:rsidRDefault="000C7783" w:rsidP="0066604D">
            <w:pPr>
              <w:pStyle w:val="NoSpacing"/>
            </w:pPr>
          </w:p>
          <w:p w14:paraId="2747F1C9" w14:textId="77777777" w:rsidR="0066604D" w:rsidRDefault="0066604D" w:rsidP="0066604D">
            <w:pPr>
              <w:pStyle w:val="NoSpacing"/>
            </w:pPr>
            <w:r>
              <w:t xml:space="preserve">The source of the information shared in this way is your electronic medical record, and you have rights directly related to that (see </w:t>
            </w:r>
            <w:proofErr w:type="spellStart"/>
            <w:r>
              <w:t>SystmOne</w:t>
            </w:r>
            <w:proofErr w:type="spellEnd"/>
            <w:r>
              <w:t xml:space="preserve">) </w:t>
            </w:r>
          </w:p>
          <w:p w14:paraId="0E136964" w14:textId="77777777" w:rsidR="0066604D" w:rsidRDefault="0066604D" w:rsidP="00FA2778">
            <w:pPr>
              <w:pStyle w:val="NoSpacing"/>
            </w:pPr>
          </w:p>
        </w:tc>
      </w:tr>
      <w:tr w:rsidR="000C7783" w14:paraId="40B51391" w14:textId="77777777" w:rsidTr="000C7783">
        <w:tc>
          <w:tcPr>
            <w:tcW w:w="7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4204E" w14:textId="77777777" w:rsidR="000C7783" w:rsidRDefault="000C7783" w:rsidP="0066604D">
            <w:pPr>
              <w:pStyle w:val="NoSpacing"/>
            </w:pPr>
            <w:r>
              <w:lastRenderedPageBreak/>
              <w:t>The right to lodge a complaint with a supervisory authority:</w:t>
            </w:r>
          </w:p>
          <w:p w14:paraId="3B682A10" w14:textId="77777777" w:rsidR="000C7783" w:rsidRPr="007C4556" w:rsidRDefault="000C7783" w:rsidP="000C7783"/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2622822E" w14:textId="77777777" w:rsidR="000C7783" w:rsidRPr="007C4556" w:rsidRDefault="000C7783" w:rsidP="000C7783">
            <w:r w:rsidRPr="007C4556">
              <w:t>The Information Commissioner</w:t>
            </w:r>
          </w:p>
          <w:p w14:paraId="14E8D470" w14:textId="77777777" w:rsidR="000C7783" w:rsidRPr="007C4556" w:rsidRDefault="000C7783" w:rsidP="000C7783">
            <w:r w:rsidRPr="007C4556">
              <w:t>Wycliffe House</w:t>
            </w:r>
          </w:p>
          <w:p w14:paraId="432A893B" w14:textId="77777777" w:rsidR="000C7783" w:rsidRPr="007C4556" w:rsidRDefault="000C7783" w:rsidP="000C7783">
            <w:r w:rsidRPr="007C4556">
              <w:t>Water Lane</w:t>
            </w:r>
          </w:p>
          <w:p w14:paraId="51DF6D48" w14:textId="77777777" w:rsidR="000C7783" w:rsidRPr="007C4556" w:rsidRDefault="000C7783" w:rsidP="000C7783">
            <w:r w:rsidRPr="007C4556">
              <w:t>Wilmslow Cheshire SK9 5AF</w:t>
            </w:r>
          </w:p>
          <w:p w14:paraId="03703CA0" w14:textId="77777777" w:rsidR="000C7783" w:rsidRPr="007C4556" w:rsidRDefault="000C7783" w:rsidP="000C7783">
            <w:r w:rsidRPr="007C4556">
              <w:t>Phone: 08456 30 60 60</w:t>
            </w:r>
          </w:p>
          <w:p w14:paraId="03D274F6" w14:textId="77777777" w:rsidR="000C7783" w:rsidRDefault="000C7783" w:rsidP="000C7783">
            <w:r w:rsidRPr="007C4556">
              <w:t xml:space="preserve">Website: </w:t>
            </w:r>
            <w:hyperlink r:id="rId8" w:history="1">
              <w:r w:rsidRPr="00D74909">
                <w:rPr>
                  <w:rStyle w:val="Hyperlink"/>
                </w:rPr>
                <w:t>www.ico.gov.uk</w:t>
              </w:r>
            </w:hyperlink>
          </w:p>
          <w:p w14:paraId="3BDDA2A3" w14:textId="77777777" w:rsidR="000C7783" w:rsidRDefault="000C7783" w:rsidP="0066604D">
            <w:pPr>
              <w:pStyle w:val="NoSpacing"/>
            </w:pPr>
          </w:p>
        </w:tc>
      </w:tr>
    </w:tbl>
    <w:p w14:paraId="7DBC7F08" w14:textId="77777777" w:rsidR="00FA2778" w:rsidRPr="00FA2778" w:rsidRDefault="00FA2778" w:rsidP="00FA2778">
      <w:pPr>
        <w:pStyle w:val="NoSpacing"/>
        <w:rPr>
          <w:b/>
        </w:rPr>
      </w:pPr>
    </w:p>
    <w:sectPr w:rsidR="00FA2778" w:rsidRPr="00FA2778" w:rsidSect="00FA2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DC5"/>
    <w:multiLevelType w:val="hybridMultilevel"/>
    <w:tmpl w:val="7474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D15"/>
    <w:multiLevelType w:val="hybridMultilevel"/>
    <w:tmpl w:val="FBA2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E45"/>
    <w:multiLevelType w:val="hybridMultilevel"/>
    <w:tmpl w:val="555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1D8B"/>
    <w:multiLevelType w:val="hybridMultilevel"/>
    <w:tmpl w:val="2C74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22EF"/>
    <w:multiLevelType w:val="hybridMultilevel"/>
    <w:tmpl w:val="DE40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04669"/>
    <w:multiLevelType w:val="hybridMultilevel"/>
    <w:tmpl w:val="E4B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42E59"/>
    <w:multiLevelType w:val="hybridMultilevel"/>
    <w:tmpl w:val="25D4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725D2"/>
    <w:multiLevelType w:val="hybridMultilevel"/>
    <w:tmpl w:val="62FC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6059">
    <w:abstractNumId w:val="5"/>
  </w:num>
  <w:num w:numId="2" w16cid:durableId="1402100028">
    <w:abstractNumId w:val="6"/>
  </w:num>
  <w:num w:numId="3" w16cid:durableId="467286434">
    <w:abstractNumId w:val="4"/>
  </w:num>
  <w:num w:numId="4" w16cid:durableId="357238201">
    <w:abstractNumId w:val="1"/>
  </w:num>
  <w:num w:numId="5" w16cid:durableId="1326322161">
    <w:abstractNumId w:val="0"/>
  </w:num>
  <w:num w:numId="6" w16cid:durableId="2108967108">
    <w:abstractNumId w:val="3"/>
  </w:num>
  <w:num w:numId="7" w16cid:durableId="768047212">
    <w:abstractNumId w:val="2"/>
  </w:num>
  <w:num w:numId="8" w16cid:durableId="155728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78"/>
    <w:rsid w:val="000C7783"/>
    <w:rsid w:val="001259B0"/>
    <w:rsid w:val="00136387"/>
    <w:rsid w:val="001A5328"/>
    <w:rsid w:val="001A5402"/>
    <w:rsid w:val="001B75BA"/>
    <w:rsid w:val="0028014E"/>
    <w:rsid w:val="00285F7A"/>
    <w:rsid w:val="002C3D83"/>
    <w:rsid w:val="002C496A"/>
    <w:rsid w:val="002F207D"/>
    <w:rsid w:val="004274ED"/>
    <w:rsid w:val="004446E2"/>
    <w:rsid w:val="00474915"/>
    <w:rsid w:val="004C1F3A"/>
    <w:rsid w:val="00540AB7"/>
    <w:rsid w:val="005A2942"/>
    <w:rsid w:val="005C7018"/>
    <w:rsid w:val="005D332C"/>
    <w:rsid w:val="005F7AFD"/>
    <w:rsid w:val="0066604D"/>
    <w:rsid w:val="006764CC"/>
    <w:rsid w:val="00682B1B"/>
    <w:rsid w:val="007249E2"/>
    <w:rsid w:val="008C0D8B"/>
    <w:rsid w:val="00991D66"/>
    <w:rsid w:val="00AB68C8"/>
    <w:rsid w:val="00AE71E5"/>
    <w:rsid w:val="00E926ED"/>
    <w:rsid w:val="00F52C8D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0D9A"/>
  <w15:docId w15:val="{0B20601E-7A20-4622-888B-450EF1C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78"/>
    <w:pPr>
      <w:spacing w:after="0" w:line="240" w:lineRule="auto"/>
    </w:pPr>
  </w:style>
  <w:style w:type="table" w:styleId="TableGrid">
    <w:name w:val="Table Grid"/>
    <w:basedOn w:val="TableNormal"/>
    <w:uiPriority w:val="59"/>
    <w:rsid w:val="0072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ico.org.uk/for-organisations/guide-to-the-general-data-protection-regulation-gdpr/individual-righ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.nhs.uk/data-and-information/looking-after-information/data-security-and-information-governance/codes-of-practice-for-handling-information-in-health-and-care/records-management-code-of-practice-for-health-and-social-care-2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9D25-18C8-4F0A-9A09-76417D0F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Boon</dc:creator>
  <cp:lastModifiedBy>Becky Symons</cp:lastModifiedBy>
  <cp:revision>4</cp:revision>
  <cp:lastPrinted>2023-11-30T15:09:00Z</cp:lastPrinted>
  <dcterms:created xsi:type="dcterms:W3CDTF">2022-03-03T11:40:00Z</dcterms:created>
  <dcterms:modified xsi:type="dcterms:W3CDTF">2023-11-30T15:09:00Z</dcterms:modified>
</cp:coreProperties>
</file>